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4" w:rsidRDefault="001927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27A4" w:rsidRDefault="001927A4">
      <w:pPr>
        <w:pStyle w:val="ConsPlusNormal"/>
        <w:jc w:val="both"/>
        <w:outlineLvl w:val="0"/>
      </w:pPr>
    </w:p>
    <w:p w:rsidR="001927A4" w:rsidRDefault="001927A4">
      <w:pPr>
        <w:pStyle w:val="ConsPlusTitle"/>
        <w:jc w:val="center"/>
        <w:outlineLvl w:val="0"/>
      </w:pPr>
      <w:r>
        <w:t>МИНИСТЕРСТВО ИМУЩЕСТВЕННЫХ ОТНОШЕНИЙ И АРХИТЕКТУРЫ</w:t>
      </w:r>
    </w:p>
    <w:p w:rsidR="001927A4" w:rsidRDefault="001927A4">
      <w:pPr>
        <w:pStyle w:val="ConsPlusTitle"/>
        <w:jc w:val="center"/>
      </w:pPr>
      <w:r>
        <w:t>УЛЬЯНОВСКОЙ ОБЛАСТИ</w:t>
      </w:r>
    </w:p>
    <w:p w:rsidR="001927A4" w:rsidRDefault="001927A4">
      <w:pPr>
        <w:pStyle w:val="ConsPlusTitle"/>
        <w:ind w:firstLine="540"/>
        <w:jc w:val="both"/>
      </w:pPr>
    </w:p>
    <w:p w:rsidR="001927A4" w:rsidRDefault="001927A4">
      <w:pPr>
        <w:pStyle w:val="ConsPlusTitle"/>
        <w:jc w:val="center"/>
      </w:pPr>
      <w:r>
        <w:t>ПРИКАЗ</w:t>
      </w:r>
    </w:p>
    <w:p w:rsidR="001927A4" w:rsidRDefault="001927A4">
      <w:pPr>
        <w:pStyle w:val="ConsPlusTitle"/>
        <w:jc w:val="center"/>
      </w:pPr>
      <w:r>
        <w:t>от 19 августа 2022 г. N 222-пр</w:t>
      </w:r>
    </w:p>
    <w:p w:rsidR="001927A4" w:rsidRDefault="001927A4">
      <w:pPr>
        <w:pStyle w:val="ConsPlusTitle"/>
        <w:ind w:firstLine="540"/>
        <w:jc w:val="both"/>
      </w:pPr>
    </w:p>
    <w:p w:rsidR="001927A4" w:rsidRDefault="001927A4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927A4" w:rsidRDefault="001927A4">
      <w:pPr>
        <w:pStyle w:val="ConsPlusTitle"/>
        <w:jc w:val="center"/>
      </w:pPr>
      <w:r>
        <w:t>ГРАЖДАНСКОЙ СЛУЖБЫ УЛЬЯНОВСКОЙ ОБЛАСТИ, ПРИ ЗАМЕЩЕНИИ</w:t>
      </w:r>
    </w:p>
    <w:p w:rsidR="001927A4" w:rsidRDefault="001927A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 МИНИСТЕРСТВА</w:t>
      </w:r>
    </w:p>
    <w:p w:rsidR="001927A4" w:rsidRDefault="001927A4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1927A4" w:rsidRDefault="001927A4">
      <w:pPr>
        <w:pStyle w:val="ConsPlusTitle"/>
        <w:jc w:val="center"/>
      </w:pPr>
      <w:r>
        <w:t>ЗАПРЕЩАЕТСЯ ОТКРЫВАТЬ И ИМЕТЬ СЧЕТА (ВКЛАДЫ), ХРАНИТЬ</w:t>
      </w:r>
    </w:p>
    <w:p w:rsidR="001927A4" w:rsidRDefault="001927A4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1927A4" w:rsidRDefault="001927A4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1927A4" w:rsidRDefault="001927A4">
      <w:pPr>
        <w:pStyle w:val="ConsPlusTitle"/>
        <w:jc w:val="center"/>
      </w:pPr>
      <w:r>
        <w:t>ВЛАДЕТЬ И (ИЛИ) ПОЛЬЗОВАТЬСЯ ИНОСТРАННЫМИ</w:t>
      </w:r>
    </w:p>
    <w:p w:rsidR="001927A4" w:rsidRDefault="001927A4">
      <w:pPr>
        <w:pStyle w:val="ConsPlusTitle"/>
        <w:jc w:val="center"/>
      </w:pPr>
      <w:r>
        <w:t>ФИНАНСОВЫМИ ИНСТРУМЕНТАМИ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приказываю: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Ульяновской области, при замещении которых государственным гражданским служащим Министерства имущественных отношений и архитектуры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927A4" w:rsidRDefault="001927A4">
      <w:pPr>
        <w:pStyle w:val="ConsPlusNormal"/>
        <w:spacing w:before="200"/>
        <w:ind w:firstLine="540"/>
        <w:jc w:val="both"/>
      </w:pPr>
      <w:hyperlink r:id="rId6">
        <w:proofErr w:type="gramStart"/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03.04.2019 N 45-пр "Об 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строительства и архитектуры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";</w:t>
      </w:r>
    </w:p>
    <w:p w:rsidR="001927A4" w:rsidRDefault="001927A4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приказа Министерства строительства и архитектуры Ульяновской области от 16.09.2020 N 214-пр "О внесении изменений в отдельные приказы Министерства строительства и архитектуры Ульяновской области";</w:t>
      </w:r>
    </w:p>
    <w:p w:rsidR="001927A4" w:rsidRDefault="001927A4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приказа Министерства строительства и архитектуры Ульяновской области от 14.03.2022 N 146-пр "О внесении изменений в отдельные приказы Министерства строительства и архитектуры Ульяновской области".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right"/>
      </w:pPr>
      <w:r>
        <w:t>Министр</w:t>
      </w:r>
    </w:p>
    <w:p w:rsidR="001927A4" w:rsidRDefault="001927A4">
      <w:pPr>
        <w:pStyle w:val="ConsPlusNormal"/>
        <w:jc w:val="right"/>
      </w:pPr>
      <w:r>
        <w:t>М.В.ДОДИН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right"/>
        <w:outlineLvl w:val="0"/>
      </w:pPr>
      <w:r>
        <w:t>Утвержден</w:t>
      </w:r>
    </w:p>
    <w:p w:rsidR="001927A4" w:rsidRDefault="001927A4">
      <w:pPr>
        <w:pStyle w:val="ConsPlusNormal"/>
        <w:jc w:val="right"/>
      </w:pPr>
      <w:r>
        <w:t>приказом</w:t>
      </w:r>
    </w:p>
    <w:p w:rsidR="001927A4" w:rsidRDefault="001927A4">
      <w:pPr>
        <w:pStyle w:val="ConsPlusNormal"/>
        <w:jc w:val="right"/>
      </w:pPr>
      <w:r>
        <w:t>Министерства имущественных отношений и архитектуры</w:t>
      </w:r>
    </w:p>
    <w:p w:rsidR="001927A4" w:rsidRDefault="001927A4">
      <w:pPr>
        <w:pStyle w:val="ConsPlusNormal"/>
        <w:jc w:val="right"/>
      </w:pPr>
      <w:r>
        <w:t>Ульяновской области</w:t>
      </w:r>
    </w:p>
    <w:p w:rsidR="001927A4" w:rsidRDefault="001927A4">
      <w:pPr>
        <w:pStyle w:val="ConsPlusNormal"/>
        <w:jc w:val="right"/>
      </w:pPr>
      <w:r>
        <w:lastRenderedPageBreak/>
        <w:t>от 19 августа 2022 г. N 222-пр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Title"/>
        <w:jc w:val="center"/>
      </w:pPr>
      <w:bookmarkStart w:id="0" w:name="P38"/>
      <w:bookmarkEnd w:id="0"/>
      <w:r>
        <w:t>ПЕРЕЧЕНЬ</w:t>
      </w:r>
    </w:p>
    <w:p w:rsidR="001927A4" w:rsidRDefault="001927A4">
      <w:pPr>
        <w:pStyle w:val="ConsPlusTitle"/>
        <w:jc w:val="center"/>
      </w:pPr>
      <w:r>
        <w:t>ДОЛЖНОСТЕЙ ГОСУДАРСТВЕННОЙ ГРАЖДАНСКОЙ СЛУЖБЫ УЛЬЯНОВСКОЙ</w:t>
      </w:r>
    </w:p>
    <w:p w:rsidR="001927A4" w:rsidRDefault="001927A4">
      <w:pPr>
        <w:pStyle w:val="ConsPlusTitle"/>
        <w:jc w:val="center"/>
      </w:pPr>
      <w:r>
        <w:t xml:space="preserve">ОБЛАСТИ, ПРИ ЗАМЕЩЕНИИ КОТОРЫХ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1927A4" w:rsidRDefault="001927A4">
      <w:pPr>
        <w:pStyle w:val="ConsPlusTitle"/>
        <w:jc w:val="center"/>
      </w:pPr>
      <w:r>
        <w:t>СЛУЖАЩИМ МИНИСТЕРСТВА ИМУЩЕСТВЕННЫХ ОТНОШЕНИЙ И АРХИТЕКТУРЫ</w:t>
      </w:r>
    </w:p>
    <w:p w:rsidR="001927A4" w:rsidRDefault="001927A4">
      <w:pPr>
        <w:pStyle w:val="ConsPlusTitle"/>
        <w:jc w:val="center"/>
      </w:pPr>
      <w:r>
        <w:t>УЛЬЯНОВСКОЙ ОБЛАСТИ ЗАПРЕЩАЕТСЯ ОТКРЫВАТЬ И ИМЕТЬ СЧЕТА</w:t>
      </w:r>
    </w:p>
    <w:p w:rsidR="001927A4" w:rsidRDefault="001927A4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1927A4" w:rsidRDefault="001927A4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1927A4" w:rsidRDefault="001927A4">
      <w:pPr>
        <w:pStyle w:val="ConsPlusTitle"/>
        <w:jc w:val="center"/>
      </w:pPr>
      <w:r>
        <w:t>РОССИЙСКОЙ ФЕДЕРАЦИИ, ВЛАДЕТЬ И (ИЛИ) ПОЛЬЗОВАТЬСЯ</w:t>
      </w:r>
    </w:p>
    <w:p w:rsidR="001927A4" w:rsidRDefault="001927A4">
      <w:pPr>
        <w:pStyle w:val="ConsPlusTitle"/>
        <w:jc w:val="center"/>
      </w:pPr>
      <w:r>
        <w:t>ИНОСТРАННЫМИ ФИНАНСОВЫМИ ИНСТРУМЕНТАМИ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ind w:firstLine="540"/>
        <w:jc w:val="both"/>
      </w:pPr>
      <w:r>
        <w:t>Заместитель Министра;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директор департамента земельных отношений и реестра;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директор департамента имущественных отношений и корпоративного сопровождения организаций;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директор департамента архитектуры и градостроительства;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директор департамента финансового, правового и административного обеспечения;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заместитель директора департамента земельных отношений и реестра - начальник отдела учета государственного имущества;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заместитель директора департамента имущественных отношений и корпоративного сопровождения организаций - начальник отдела имущественных отношений;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заместитель директора департамента архитектуры и градостроительства;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заместитель директора департамента финансового, правового и административного обеспечения - главный бухгалтер;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начальник отдела корпоративного сопровождения организаций;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начальник отдела градостроительной деятельности;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начальник отдела информационной системы обеспечения градостроительной деятельности;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начальник отдела градостроительного контроля;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департамента земельных отношений и реестра;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департамента финансового, правового и административного обеспечения;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отдела учета государственного имущества;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отдела имущественных отношений;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отдела градостроительной деятельности;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референт отдела информационной системы обеспечения градостроительной деятельности;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департамента земельных отношений и реестра;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департамента финансового, правового и административного обеспечения;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отдела учета государственного имущества;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отдела имущественных отношений;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отдела корпоративного сопровождения организаций;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консультант отдела градостроительного контроля;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lastRenderedPageBreak/>
        <w:t>ведущий консультант отдела учета государственного имущества;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ведущий консультант отдела имущественных отношений;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ведущий консультант отдела градостроительного контроля;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ведущий консультант;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консультант департамента финансового, правового и административного обеспечения;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консультант отдела корпоративного сопровождения организаций;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специалист-эксперт департамента финансового, правового и административного обеспечения;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специалист-эксперт отдела учета государственного имущества;</w:t>
      </w:r>
    </w:p>
    <w:p w:rsidR="001927A4" w:rsidRDefault="001927A4">
      <w:pPr>
        <w:pStyle w:val="ConsPlusNormal"/>
        <w:spacing w:before="200"/>
        <w:ind w:firstLine="540"/>
        <w:jc w:val="both"/>
      </w:pPr>
      <w:r>
        <w:t>главный специалист-эксперт отдела корпоративного сопровождения организаций.</w:t>
      </w: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jc w:val="both"/>
      </w:pPr>
    </w:p>
    <w:p w:rsidR="001927A4" w:rsidRDefault="001927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87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927A4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27A4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27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27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B05BE57856700C6AFD0E953D7B343DE71D02DAF9D310064C9E29640B5548D5CF93C504B59F2CBC34163380B45887FF5FEA3Ec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2246F9064DED7505AB05BE57856700C6AFD0E963A71353FE71D02DAF9D310064C9E29640B5548D5CF93CA04B59F2CBC34163380B45887FF5FEA3Ec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B05BE57856700C6AFD0E953D7C3A3FE71D02DAF9D310064C9E3B64535949D6D191CC11E3CE6A3EcAM" TargetMode="External"/><Relationship Id="rId5" Type="http://schemas.openxmlformats.org/officeDocument/2006/relationships/hyperlink" Target="consultantplus://offline/ref=8BC2246F9064DED7505AAE56F314087A0969A603903C736562B8465F8DF0D9474103C76B20065449D4C4C59C4BB4C369EA27173180B6599B3Fc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2023-01-13T12:28:00Z</dcterms:created>
  <dcterms:modified xsi:type="dcterms:W3CDTF">2023-01-13T12:29:00Z</dcterms:modified>
</cp:coreProperties>
</file>